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Структура та органи управління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Багринівського ліцею</w:t>
      </w:r>
    </w:p>
    <w:p w:rsidR="00126852" w:rsidRPr="00126852" w:rsidRDefault="00126852" w:rsidP="00126852">
      <w:pPr>
        <w:pStyle w:val="a3"/>
        <w:shd w:val="clear" w:color="auto" w:fill="FFFFFF"/>
        <w:spacing w:before="0" w:beforeAutospacing="0" w:after="0" w:afterAutospacing="0"/>
        <w:jc w:val="both"/>
        <w:rPr>
          <w:sz w:val="28"/>
          <w:szCs w:val="28"/>
          <w:lang w:val="uk-UA"/>
        </w:rPr>
      </w:pP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Управління закладом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Система управління закладами освіти визначається законом та установчими документами.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2. Управління закладом освіти в межах повноважень, визначених законами та установчими документами цього закладу, здійснюють:</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-засновник (засновники);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-керівник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-колегіальний орган управління закладу освіти – педагогічна рада;</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-колегіальний орган громадського самоврядування;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-інші органи, передбачені спеціальними законами та/або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Права і обов’язки засновника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Права і обов’язки засновника щодо управління закладом освіти визначаються законами України,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2. Засновник закладу освіти або уповноважена ним особа:</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-затверджує установчі документи закладу освіти, їх нову редакцію та зміни до них;</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-затверджує кошторис та приймає фінансовий звіт закладу освіти у випадках та порядку, визначених законодавством;</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-здійснює контроль за фінансово-господарською діяльністю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-здійснює контроль за дотриманням установчих документів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-реалізує інші права, передбачені законодавством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5. Засновник має право створювати заклад освіти, що здійснює освітню діяльність на кількох рівнях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6. Засновник закладу освіти зобов’язаний:</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Керівник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Керівник закладу освіти в межах наданих йому повноважень:</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-організовує діяльність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-вирішує питання фінансово-господарської діяльності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-призначає на посаду та звільняє з посади працівників, визначає їх функціональні обов’язки;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-забезпечує організацію освітнього процесу та здійснення контролю за виконанням освітніх програм;</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-забезпечує функціонування внутрішньої системи забезпечення якості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-забезпечує умови для здійснення дієвого та відкритого громадського контролю за діяльністю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-сприяє та створює умови для діяльності органів самоврядування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-сприяє здоровому способу життя здобувачів освіти та працівників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-здійснює інші повноваження, передбачені законом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Колегіальні органи управління закладів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2. 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Педагогічна рада закладу загальної середньої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-планує роботу закладу;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-схвалює освітню (освітні) програму (програми) закладу та оцінює результативність її (їх) виконання;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-розглядає питання щодо вдосконалення і методичного забезпечення освітнього процесу;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lastRenderedPageBreak/>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-розглядає інші питання, віднесені законом та/або статутом закладу до її повноважень.</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-Рішення педагогічної ради закладу загальної середньої освіти вводяться в дію рішеннями керівника закладу.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Громадське самоврядування в закладі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Громадське самоврядування в закладі освіти здійснюється на принципах, визначених частиною восьмою статті 70 цього Закону.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У закладі освіти можуть діяти: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органи самоврядування працівників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органи самоврядування здобувачів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органи батьківського самоврядування;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інші органи громадського самоврядування учасників освітнього процесу.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2. Вищим колегіальним органом громадського самоврядування закладу освіти є загальні збори (конференція) колективу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Наглядова (піклувальна) рада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 xml:space="preserve">2. Наглядова (піклувальна) рада закладу освіти сприяє вирішенню перспективних завдань його розвитку, залученню фінансових ресурсів для забезпечення його </w:t>
      </w:r>
      <w:r w:rsidRPr="00126852">
        <w:rPr>
          <w:color w:val="000000"/>
          <w:sz w:val="28"/>
          <w:szCs w:val="28"/>
          <w:lang w:val="uk-UA"/>
        </w:rPr>
        <w:lastRenderedPageBreak/>
        <w:t>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4. До складу наглядової (піклувальної) ради закладу освіти не можуть входити здобувачі освіти та працівники цього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b/>
          <w:bCs/>
          <w:color w:val="000000"/>
          <w:sz w:val="28"/>
          <w:szCs w:val="28"/>
          <w:lang w:val="uk-UA"/>
        </w:rPr>
        <w:t>Піклувальна р</w:t>
      </w:r>
      <w:bookmarkStart w:id="0" w:name="_GoBack"/>
      <w:bookmarkEnd w:id="0"/>
      <w:r w:rsidRPr="00126852">
        <w:rPr>
          <w:b/>
          <w:bCs/>
          <w:color w:val="000000"/>
          <w:sz w:val="28"/>
          <w:szCs w:val="28"/>
          <w:lang w:val="uk-UA"/>
        </w:rPr>
        <w:t>ада має право:</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-брати участь у визначенні стратегії розвитку закладу освіти та контролювати її виконання;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-сприяти залученню додаткових джерел фінансування;</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-аналізувати та оцінювати діяльність закладу освіти та його керівника;</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-здійснювати інші права, визначені спеціальними законами та/або установчими документами закладу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Особливості відносин між закладами освіти та політичними партіями (об’єднаннями) і релігійними організаціями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1. Державні та комунальні заклади освіти відокремлені від церкви (релігійних організацій), мають світський характер.</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3. Політичні партії (об’єднання) не мають права втручатися в освітню діяльність закладів освіти.</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У закладах освіти забороняється створення осередків політичних партій та функціонування будь-яких політичних об’єднань.</w:t>
      </w:r>
    </w:p>
    <w:p w:rsidR="00126852" w:rsidRPr="00126852" w:rsidRDefault="00126852" w:rsidP="00126852">
      <w:pPr>
        <w:pStyle w:val="a3"/>
        <w:shd w:val="clear" w:color="auto" w:fill="FFFFFF"/>
        <w:spacing w:before="0" w:beforeAutospacing="0" w:after="0" w:afterAutospacing="0"/>
        <w:jc w:val="both"/>
        <w:rPr>
          <w:sz w:val="28"/>
          <w:szCs w:val="28"/>
          <w:lang w:val="uk-UA"/>
        </w:rPr>
      </w:pPr>
      <w:r w:rsidRPr="00126852">
        <w:rPr>
          <w:color w:val="000000"/>
          <w:sz w:val="28"/>
          <w:szCs w:val="28"/>
          <w:lang w:val="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126852" w:rsidRPr="00126852" w:rsidRDefault="00126852" w:rsidP="00126852">
      <w:pPr>
        <w:pStyle w:val="a3"/>
        <w:shd w:val="clear" w:color="auto" w:fill="FFFFFF"/>
        <w:spacing w:before="0" w:beforeAutospacing="0" w:after="143" w:afterAutospacing="0"/>
        <w:jc w:val="both"/>
        <w:rPr>
          <w:sz w:val="28"/>
          <w:szCs w:val="28"/>
          <w:lang w:val="uk-UA"/>
        </w:rPr>
      </w:pPr>
      <w:r w:rsidRPr="00126852">
        <w:rPr>
          <w:color w:val="000000"/>
          <w:sz w:val="28"/>
          <w:szCs w:val="28"/>
          <w:lang w:val="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CD1315" w:rsidRPr="00126852" w:rsidRDefault="00CD1315" w:rsidP="00126852">
      <w:pPr>
        <w:jc w:val="both"/>
        <w:rPr>
          <w:sz w:val="28"/>
          <w:szCs w:val="28"/>
          <w:lang w:val="uk-UA"/>
        </w:rPr>
      </w:pPr>
    </w:p>
    <w:sectPr w:rsidR="00CD1315" w:rsidRPr="00126852" w:rsidSect="00126852">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2"/>
    <w:rsid w:val="00126852"/>
    <w:rsid w:val="00CD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6971"/>
  <w15:chartTrackingRefBased/>
  <w15:docId w15:val="{AE036112-AD18-4ABA-8A82-36C33ADD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2023-03-08T11:34:00Z</dcterms:created>
  <dcterms:modified xsi:type="dcterms:W3CDTF">2023-03-08T11:39:00Z</dcterms:modified>
</cp:coreProperties>
</file>